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180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Investment Policy</w:t>
      </w:r>
    </w:p>
    <w:p w:rsidR="00000000" w:rsidDel="00000000" w:rsidP="00000000" w:rsidRDefault="00000000" w:rsidRPr="00000000" w14:paraId="00000002">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This policy will govern the investment activities of the Hopkins District Library. It is the policy of the Library to invest public funds in a manner which will provide the highest return with the maximum security while meeting cash flow demands. All investments will conform to all applicable laws and regulations governing the investment of public funds. </w:t>
      </w:r>
      <w:r w:rsidDel="00000000" w:rsidR="00000000" w:rsidRPr="00000000">
        <w:rPr>
          <w:rtl w:val="0"/>
        </w:rPr>
      </w:r>
    </w:p>
    <w:p w:rsidR="00000000" w:rsidDel="00000000" w:rsidP="00000000" w:rsidRDefault="00000000" w:rsidRPr="00000000" w14:paraId="00000003">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primary objectives, in priority order, of the Library's financial investments are: </w:t>
      </w:r>
      <w:r w:rsidDel="00000000" w:rsidR="00000000" w:rsidRPr="00000000">
        <w:rPr>
          <w:rtl w:val="0"/>
        </w:rPr>
      </w:r>
    </w:p>
    <w:p w:rsidR="00000000" w:rsidDel="00000000" w:rsidP="00000000" w:rsidRDefault="00000000" w:rsidRPr="00000000" w14:paraId="00000004">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Safety of Principal – Safety of principal is the foremost objective of the investment program. All investments shall be undertaken in a manner that seeks first to preserve capital and second to fulfill other investment objectives. </w:t>
      </w:r>
      <w:r w:rsidDel="00000000" w:rsidR="00000000" w:rsidRPr="00000000">
        <w:rPr>
          <w:rtl w:val="0"/>
        </w:rPr>
      </w:r>
    </w:p>
    <w:p w:rsidR="00000000" w:rsidDel="00000000" w:rsidP="00000000" w:rsidRDefault="00000000" w:rsidRPr="00000000" w14:paraId="00000005">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Liquidity – The Library's investment portfolio will remain sufficiently liquid to enable the Library to meet all operating requirements which might be reasonably anticipated. </w:t>
      </w:r>
      <w:r w:rsidDel="00000000" w:rsidR="00000000" w:rsidRPr="00000000">
        <w:rPr>
          <w:rtl w:val="0"/>
        </w:rPr>
      </w:r>
    </w:p>
    <w:p w:rsidR="00000000" w:rsidDel="00000000" w:rsidP="00000000" w:rsidRDefault="00000000" w:rsidRPr="00000000" w14:paraId="00000006">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Return on Investments (Yield) – The Library's investments should generate the highest available return without sacrificing the first two objectives outlined above. </w:t>
      </w:r>
      <w:r w:rsidDel="00000000" w:rsidR="00000000" w:rsidRPr="00000000">
        <w:rPr>
          <w:rtl w:val="0"/>
        </w:rPr>
      </w:r>
    </w:p>
    <w:p w:rsidR="00000000" w:rsidDel="00000000" w:rsidP="00000000" w:rsidRDefault="00000000" w:rsidRPr="00000000" w14:paraId="00000007">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Management responsibility for the Library's investment program is hereby delegated to the Treasurer, who is the Library's chief fiscal officer. The Treasurer shall be responsible for the implementation of the investment program and the establishment of investment procedures consistent with this Policy. No person may engage in an investment transaction except as provided under the terms of this Policy and the procedures established by the Treasurer. </w:t>
      </w:r>
      <w:r w:rsidDel="00000000" w:rsidR="00000000" w:rsidRPr="00000000">
        <w:rPr>
          <w:rtl w:val="0"/>
        </w:rPr>
      </w:r>
    </w:p>
    <w:p w:rsidR="00000000" w:rsidDel="00000000" w:rsidP="00000000" w:rsidRDefault="00000000" w:rsidRPr="00000000" w14:paraId="00000008">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following investments are deemed to be suitable for inclusion in the Library's investment program. The Treasurer is authorized to invest Library funds in only those investments specifically delineated below. </w:t>
      </w:r>
      <w:r w:rsidDel="00000000" w:rsidR="00000000" w:rsidRPr="00000000">
        <w:rPr>
          <w:rtl w:val="0"/>
        </w:rPr>
      </w:r>
    </w:p>
    <w:p w:rsidR="00000000" w:rsidDel="00000000" w:rsidP="00000000" w:rsidRDefault="00000000" w:rsidRPr="00000000" w14:paraId="00000009">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U.S. Treasury Bills and Notes for which the full faith and credit of the U.S. Government is pledged for the repayment of principal and interest. Bills are short term (one year or less) obligations issued and sold at a discount. Notes have fixed coupon rates with original maturities of between one and five years. </w:t>
      </w:r>
      <w:r w:rsidDel="00000000" w:rsidR="00000000" w:rsidRPr="00000000">
        <w:rPr>
          <w:rtl w:val="0"/>
        </w:rPr>
      </w:r>
    </w:p>
    <w:p w:rsidR="00000000" w:rsidDel="00000000" w:rsidP="00000000" w:rsidRDefault="00000000" w:rsidRPr="00000000" w14:paraId="0000000A">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Demand deposit accounts (such as checking accounts) established with local financial institutions. </w:t>
      </w:r>
      <w:r w:rsidDel="00000000" w:rsidR="00000000" w:rsidRPr="00000000">
        <w:rPr>
          <w:rtl w:val="0"/>
        </w:rPr>
      </w:r>
    </w:p>
    <w:p w:rsidR="00000000" w:rsidDel="00000000" w:rsidP="00000000" w:rsidRDefault="00000000" w:rsidRPr="00000000" w14:paraId="0000000B">
      <w:pPr>
        <w:numPr>
          <w:ilvl w:val="1"/>
          <w:numId w:val="2"/>
        </w:numPr>
        <w:spacing w:line="276" w:lineRule="auto"/>
        <w:ind w:left="1440" w:hanging="360"/>
        <w:rPr>
          <w:b w:val="1"/>
          <w:sz w:val="24"/>
          <w:szCs w:val="24"/>
        </w:rPr>
      </w:pPr>
      <w:r w:rsidDel="00000000" w:rsidR="00000000" w:rsidRPr="00000000">
        <w:rPr>
          <w:rFonts w:ascii="Times New Roman" w:cs="Times New Roman" w:eastAsia="Times New Roman" w:hAnsi="Times New Roman"/>
          <w:sz w:val="24"/>
          <w:szCs w:val="24"/>
          <w:rtl w:val="0"/>
        </w:rPr>
        <w:t xml:space="preserve">Certificates of Deposit (CDs) issued by local financial institutions. </w:t>
      </w:r>
      <w:r w:rsidDel="00000000" w:rsidR="00000000" w:rsidRPr="00000000">
        <w:rPr>
          <w:rtl w:val="0"/>
        </w:rPr>
      </w:r>
    </w:p>
    <w:p w:rsidR="00000000" w:rsidDel="00000000" w:rsidP="00000000" w:rsidRDefault="00000000" w:rsidRPr="00000000" w14:paraId="0000000C">
      <w:pPr>
        <w:numPr>
          <w:ilvl w:val="0"/>
          <w:numId w:val="3"/>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No investment shall have a maturity date of more than ten years from its date of purchase by the Library. To the extent possible and prudent, the Library will attempt to match its investment maturities with anticipated cash flow requirements. </w:t>
      </w:r>
      <w:r w:rsidDel="00000000" w:rsidR="00000000" w:rsidRPr="00000000">
        <w:rPr>
          <w:rtl w:val="0"/>
        </w:rPr>
      </w:r>
    </w:p>
    <w:p w:rsidR="00000000" w:rsidDel="00000000" w:rsidP="00000000" w:rsidRDefault="00000000" w:rsidRPr="00000000" w14:paraId="0000000D">
      <w:pPr>
        <w:numPr>
          <w:ilvl w:val="1"/>
          <w:numId w:val="1"/>
        </w:numPr>
        <w:spacing w:line="276" w:lineRule="auto"/>
        <w:ind w:left="1800" w:hanging="360"/>
        <w:rPr>
          <w:rFonts w:ascii="Times New Roman" w:cs="Times New Roman" w:eastAsia="Times New Roman" w:hAnsi="Times New Roman"/>
          <w:b w:val="1"/>
          <w:sz w:val="28"/>
          <w:szCs w:val="28"/>
          <w:u w:val="none"/>
        </w:rPr>
      </w:pPr>
      <w:r w:rsidDel="00000000" w:rsidR="00000000" w:rsidRPr="00000000">
        <w:rPr>
          <w:rtl w:val="0"/>
        </w:rPr>
      </w:r>
    </w:p>
    <w:p w:rsidR="00000000" w:rsidDel="00000000" w:rsidP="00000000" w:rsidRDefault="00000000" w:rsidRPr="00000000" w14:paraId="0000000E">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