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Copyright Policy</w:t>
      </w:r>
    </w:p>
    <w:p w:rsidR="00000000" w:rsidDel="00000000" w:rsidP="00000000" w:rsidRDefault="00000000" w:rsidRPr="00000000" w14:paraId="00000002">
      <w:pPr>
        <w:numPr>
          <w:ilvl w:val="0"/>
          <w:numId w:val="1"/>
        </w:numPr>
        <w:shd w:fill="ffffff" w:val="clea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It is the intent of the Hopkins District Library to comply with Title 17 of the United States Code, titled “Copyrights”, and other federal legislation related to the duplication, retention and use of copyrighted materials. A notice of copyright will be prominently placed on the library’s photocopiers. Library staff will refuse to duplicate any materials if doing so would violate copyright law. Library patrons copying any materials on library machines are solely and fully responsible for using the materials in compliance with relevant copyright law.  Unless otherwise labeled, audiovisual materials are for personal and home use only.  Library staff will follow copyright law in selecting and using materials for public performance. Original or copyright-free art will be used to produce library publicity items or for creating displays and decorations</w:t>
      </w:r>
    </w:p>
    <w:p w:rsidR="00000000" w:rsidDel="00000000" w:rsidP="00000000" w:rsidRDefault="00000000" w:rsidRPr="00000000" w14:paraId="00000003">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